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10th November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select the award(s) you are entering.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There is a limit of 3 per entrant.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ntrepreneur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eader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Diversity &amp; Inclusion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Professional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ervices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100 employees)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(100+ employees)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summarise the organisation and what it does (up to 100 words)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4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57151</wp:posOffset>
          </wp:positionV>
          <wp:extent cx="2248647" cy="190500"/>
          <wp:effectExtent b="0" l="0" r="0" t="0"/>
          <wp:wrapNone/>
          <wp:docPr id="4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-20470</wp:posOffset>
          </wp:positionH>
          <wp:positionV relativeFrom="page">
            <wp:posOffset>-9520</wp:posOffset>
          </wp:positionV>
          <wp:extent cx="7596188" cy="1261825"/>
          <wp:effectExtent b="0" l="0" r="0" t="0"/>
          <wp:wrapNone/>
          <wp:docPr id="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-4762</wp:posOffset>
          </wp:positionH>
          <wp:positionV relativeFrom="page">
            <wp:posOffset>-9524</wp:posOffset>
          </wp:positionV>
          <wp:extent cx="7567613" cy="1252273"/>
          <wp:effectExtent b="0" l="0" r="0" t="0"/>
          <wp:wrapNone/>
          <wp:docPr id="4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125227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7UMLlfd/LBQYyN6E/t0M7jPQsQ==">CgMxLjA4AHIhMWtiNnJXU0N3cWEyVzYwckV0MXF0YTRQWEtCaDh0cWQy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